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76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附件1：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76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非羁押智能管控系统采购项目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要求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lang w:eastAsia="zh-CN"/>
        </w:rPr>
      </w:pPr>
      <w:bookmarkStart w:id="0" w:name="_Toc11243009"/>
      <w:bookmarkStart w:id="1" w:name="_Toc471310436"/>
      <w:bookmarkStart w:id="2" w:name="_Toc523213131"/>
      <w:bookmarkStart w:id="3" w:name="_Toc217446109"/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jc w:val="left"/>
        <w:textAlignment w:val="auto"/>
      </w:pPr>
      <w:r>
        <w:rPr>
          <w:rFonts w:hint="eastAsia" w:ascii="黑体" w:hAnsi="黑体" w:eastAsia="黑体" w:cs="黑体"/>
          <w:b w:val="0"/>
          <w:bCs/>
          <w:lang w:eastAsia="zh-CN"/>
        </w:rPr>
        <w:t>一</w:t>
      </w:r>
      <w:r>
        <w:rPr>
          <w:rFonts w:hint="eastAsia" w:ascii="黑体" w:hAnsi="黑体" w:eastAsia="黑体" w:cs="黑体"/>
          <w:b w:val="0"/>
          <w:bCs/>
        </w:rPr>
        <w:t>、质量要求</w:t>
      </w:r>
      <w:bookmarkEnd w:id="0"/>
      <w:bookmarkEnd w:id="1"/>
      <w:bookmarkEnd w:id="2"/>
      <w:bookmarkEnd w:id="3"/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、须提供全新的货物（含零部件、配件等），表面无划伤、无碰撞痕迹，且权属清楚，不得侵害他人的知识产权。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2、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货物必须符合或优于国家（行业）计量标准，以及本项目建设方案的质量要求和技术指标与出厂标准。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3、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货物制造质量出现问题，应负责三包（包修、包换、包退）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，由供货单位负责相关费用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/>
        <w:textAlignment w:val="auto"/>
        <w:rPr>
          <w:rFonts w:hint="eastAsia" w:ascii="宋体" w:hAnsi="宋体"/>
          <w:color w:val="000000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、货到现场后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因采购单位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保管不当造成的质量问题，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供货单位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应负责修理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，由采购单位负责相关费用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5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交货期限：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签订合同后10个工作日内完成供货及安装调试。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、验收由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采购单位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组织，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供货单位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配合进行：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 xml:space="preserve"> (1)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申请验收时，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供货单位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应提交相应的验收报告，报告应符合合同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以及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采购单位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建设方案的质量要求和技术指标进行验收； 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 xml:space="preserve">(2)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验收时如发现所交付的货物有短装、次品、损坏或其它不符合标准及本合同规定之情形者，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采购单位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应做出详尽的现场记录，或由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采购单位及供货单位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双方签署备忘录，此现场记录或备忘录可用作补充、缺失和更换损坏部件的有效证据，由此产生的时间延误与有关费用由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供货单位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承担，验收期限相应顺延；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(3)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产品质量、技术和施工质量争议，由提出异议的一方委托双方认可的第三方独立检验机构检验；检验合格, 检验费用由提出异议方支付, 检验不合格, 检验费用由对方支付。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(4)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供货单位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安装调试完毕所有系统，并自检通过后，由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供货单位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提交验收申请、验收方案及验收报告，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采购单位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在收到申请后10日内组织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供货单位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及相关部门组成的验收小组共同对系统进行验收，验收通过后签署验收报告。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7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供货单位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应将所提供货物的装箱清单、配件、随机工具、用户使用手册、原厂保修卡等资料交付给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采购单位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供货单位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不能完整交付货物及本款规定的单证和工具的，必须负责补齐，否则视为未按合同约定交货。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8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其他未尽事宜应严格按照《四川省政府采购项目需求论证和履约验收管理办法》（川财采〔2015〕32号）的要求进行。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jc w:val="left"/>
        <w:textAlignment w:val="auto"/>
      </w:pPr>
      <w:bookmarkStart w:id="4" w:name="_Toc217446111"/>
      <w:bookmarkStart w:id="5" w:name="_Toc523213133"/>
      <w:bookmarkStart w:id="6" w:name="_Toc11243011"/>
      <w:bookmarkStart w:id="7" w:name="_Toc471310438"/>
      <w:r>
        <w:rPr>
          <w:rFonts w:hint="eastAsia" w:ascii="黑体" w:hAnsi="黑体" w:eastAsia="黑体" w:cs="黑体"/>
          <w:b w:val="0"/>
          <w:bCs/>
          <w:lang w:eastAsia="zh-CN"/>
        </w:rPr>
        <w:t>二</w:t>
      </w:r>
      <w:r>
        <w:rPr>
          <w:rFonts w:hint="eastAsia" w:ascii="黑体" w:hAnsi="黑体" w:eastAsia="黑体" w:cs="黑体"/>
          <w:b w:val="0"/>
          <w:bCs/>
        </w:rPr>
        <w:t>、付款方式</w:t>
      </w:r>
      <w:bookmarkEnd w:id="4"/>
      <w:bookmarkEnd w:id="5"/>
      <w:bookmarkEnd w:id="6"/>
      <w:bookmarkEnd w:id="7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1、双方之间发生的一切费用均以人民币进行结算及支付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、验收合格后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u w:val="single"/>
          <w:lang w:val="en-US" w:eastAsia="zh-CN"/>
        </w:rPr>
        <w:t>5日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内，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eastAsia="zh-CN"/>
        </w:rPr>
        <w:t>采购单位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向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供货单位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支付合同总价的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u w:val="single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u w:val="single"/>
        </w:rPr>
        <w:t>%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款项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eastAsia="zh-CN"/>
        </w:rPr>
        <w:t>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供货单位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须向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eastAsia="zh-CN"/>
        </w:rPr>
        <w:t>采购单位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出具等额的合法有效完整的完税发票及凭证资料进行支付结算。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、培训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、培训：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供货单位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向采购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提供包括：设备的运输、调试、运行及相关操作人员的技术培训和应用培训。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、培训时间：采购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指定，培训费用由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供货单位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承担。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、培训地点：采购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现场。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8" w:name="_Toc11243012"/>
      <w:bookmarkStart w:id="9" w:name="_Toc471310439"/>
      <w:bookmarkStart w:id="10" w:name="_Toc217446112"/>
      <w:bookmarkStart w:id="11" w:name="_Toc523213134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、售后服务</w:t>
      </w:r>
      <w:bookmarkEnd w:id="8"/>
      <w:bookmarkEnd w:id="9"/>
      <w:bookmarkEnd w:id="10"/>
      <w:bookmarkEnd w:id="11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、货物）及技术售后服务质保期为最终验收合格交付后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贰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年，质保期内所有设备或者系统出现问题，接到采购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的通知后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供货单位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在10分钟内做出答复，4小时内到达现场，48小时内解决故障问题，并承担修理调换等费用；如货物经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供货单位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3 次维修仍不能达到本合同约定的质量标准，视作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供货单位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未能按时交货，采购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有权退货并追究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供货单位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的违约责任。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、质保期后次年起采购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可根据自身情况选择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供货单位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提供的系统运维管理服务，主要包括日常运行维护、数据库维护、短信包维护。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、货到现场后由于采购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保管不当或人为原因造成的损坏，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供货单位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亦应负责修复，但费用由采购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负担。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供货单位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须指派专人负责与采购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联系</w:t>
      </w:r>
      <w:bookmarkStart w:id="12" w:name="_GoBack"/>
      <w:bookmarkEnd w:id="12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售后服务事宜。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ZTY2ZWVjNjcxNTY5NWRjZWNjOGYyMjYxYjM0OGIifQ=="/>
  </w:docVars>
  <w:rsids>
    <w:rsidRoot w:val="00000000"/>
    <w:rsid w:val="26F17E28"/>
    <w:rsid w:val="74B2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32"/>
      <w:szCs w:val="20"/>
    </w:rPr>
  </w:style>
  <w:style w:type="paragraph" w:styleId="4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b/>
      <w:bCs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354</Characters>
  <Lines>0</Lines>
  <Paragraphs>0</Paragraphs>
  <TotalTime>1</TotalTime>
  <ScaleCrop>false</ScaleCrop>
  <LinksUpToDate>false</LinksUpToDate>
  <CharactersWithSpaces>356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2023-03-28T07:15:00Z</dcterms:created>
  <dc:creator>HP</dc:creator>
  <cp:lastModifiedBy>陆妈妈</cp:lastModifiedBy>
  <dcterms:modified xsi:type="dcterms:W3CDTF">2023-03-29T06:59:53Z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442D1E64F53E4751B8A31AC526A09CC5</vt:lpwstr>
  </property>
</Properties>
</file>